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39796797"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01630</w:t>
      </w:r>
    </w:p>
    <w:p w14:paraId="7353AD93" w14:textId="1BD08ED4" w:rsidR="00B945C1" w:rsidRPr="0004564C" w:rsidRDefault="009102BB" w:rsidP="007B1761">
      <w:pPr>
        <w:pStyle w:val="Header"/>
        <w:tabs>
          <w:tab w:val="right" w:pos="9639"/>
        </w:tabs>
        <w:spacing w:after="120"/>
        <w:rPr>
          <w:rFonts w:eastAsia="PMingLiU" w:cs="Arial"/>
          <w:sz w:val="24"/>
          <w:lang w:eastAsia="zh-TW"/>
        </w:rPr>
      </w:pPr>
      <w:r>
        <w:rPr>
          <w:rFonts w:eastAsia="PMingLiU" w:cs="Arial"/>
          <w:sz w:val="24"/>
          <w:lang w:val="en-GB" w:eastAsia="zh-TW"/>
        </w:rPr>
        <w:t>Athens</w:t>
      </w:r>
      <w:r w:rsidR="007538E3">
        <w:rPr>
          <w:rFonts w:eastAsia="PMingLiU" w:cs="Arial"/>
          <w:sz w:val="24"/>
          <w:lang w:val="en-GB" w:eastAsia="zh-TW"/>
        </w:rPr>
        <w:t xml:space="preserve">, </w:t>
      </w:r>
      <w:r>
        <w:rPr>
          <w:rFonts w:eastAsia="PMingLiU" w:cs="Arial"/>
          <w:sz w:val="24"/>
          <w:lang w:val="en-GB" w:eastAsia="zh-TW"/>
        </w:rPr>
        <w:t>Greece</w:t>
      </w:r>
      <w:r w:rsidR="007538E3">
        <w:rPr>
          <w:rFonts w:eastAsia="PMingLiU" w:cs="Arial"/>
          <w:sz w:val="24"/>
          <w:lang w:val="en-GB" w:eastAsia="zh-TW"/>
        </w:rPr>
        <w:t xml:space="preserve">, </w:t>
      </w:r>
      <w:r>
        <w:rPr>
          <w:rFonts w:eastAsia="PMingLiU" w:cs="Arial"/>
          <w:sz w:val="24"/>
          <w:lang w:val="en-GB" w:eastAsia="zh-TW"/>
        </w:rPr>
        <w:t>27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February</w:t>
      </w:r>
      <w:r w:rsidR="00574753">
        <w:rPr>
          <w:rFonts w:eastAsia="PMingLiU" w:cs="Arial"/>
          <w:sz w:val="24"/>
          <w:lang w:val="en-GB" w:eastAsia="zh-TW"/>
        </w:rPr>
        <w:t xml:space="preserve"> – </w:t>
      </w:r>
      <w:r>
        <w:rPr>
          <w:rFonts w:eastAsia="PMingLiU" w:cs="Arial"/>
          <w:sz w:val="24"/>
          <w:lang w:val="en-GB" w:eastAsia="zh-TW"/>
        </w:rPr>
        <w:t>3</w:t>
      </w:r>
      <w:r w:rsidRPr="009102BB">
        <w:rPr>
          <w:rFonts w:eastAsia="PMingLiU" w:cs="Arial"/>
          <w:sz w:val="24"/>
          <w:vertAlign w:val="superscript"/>
          <w:lang w:val="en-GB" w:eastAsia="zh-TW"/>
        </w:rPr>
        <w:t>rd</w:t>
      </w:r>
      <w:r>
        <w:rPr>
          <w:rFonts w:eastAsia="PMingLiU" w:cs="Arial"/>
          <w:sz w:val="24"/>
          <w:lang w:val="en-GB" w:eastAsia="zh-TW"/>
        </w:rPr>
        <w:t xml:space="preserve"> March</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110E70AA"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EF22FB">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3A161BBC"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F22FB">
        <w:rPr>
          <w:rFonts w:ascii="Arial" w:hAnsi="Arial" w:cs="Arial"/>
          <w:b/>
          <w:bCs/>
          <w:szCs w:val="24"/>
        </w:rPr>
        <w:t>Solutions for carrier phase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612CA39" w14:textId="1EFDBE18" w:rsidR="00385A83" w:rsidRDefault="00385A83" w:rsidP="00C57BBB">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Carrier phase positioning is targeted to reach sub centi-meter accuracy.</w:t>
      </w:r>
      <w:r w:rsidR="00201E20">
        <w:rPr>
          <w:sz w:val="22"/>
          <w:lang w:val="en-GB"/>
        </w:rPr>
        <w:t xml:space="preserve"> During the study item, it has been shown that in some conditions, the sub centi-meter accuracy is achievable. However, the phase of the signal is vulnerable to the clock phase mismatch, and the channel condition.</w:t>
      </w:r>
    </w:p>
    <w:p w14:paraId="077263CE" w14:textId="4A6B9B72" w:rsidR="00201E20" w:rsidRDefault="00201E20" w:rsidP="00C57BBB">
      <w:pPr>
        <w:jc w:val="both"/>
        <w:rPr>
          <w:sz w:val="22"/>
          <w:lang w:val="en-GB"/>
        </w:rPr>
      </w:pPr>
    </w:p>
    <w:p w14:paraId="3F5B2DD4" w14:textId="15A3F4C3" w:rsidR="009B3E3C" w:rsidRDefault="009B3E3C" w:rsidP="00C57BBB">
      <w:pPr>
        <w:jc w:val="both"/>
        <w:rPr>
          <w:sz w:val="22"/>
          <w:lang w:val="en-GB"/>
        </w:rPr>
      </w:pPr>
      <w:r>
        <w:rPr>
          <w:sz w:val="22"/>
          <w:lang w:val="en-GB"/>
        </w:rPr>
        <w:t xml:space="preserve">There has been intensive debate </w:t>
      </w:r>
      <w:r>
        <w:rPr>
          <w:sz w:val="22"/>
        </w:rPr>
        <w:t xml:space="preserve">on </w:t>
      </w:r>
      <w:r>
        <w:rPr>
          <w:sz w:val="22"/>
          <w:lang w:val="en-GB"/>
        </w:rPr>
        <w:t>whether the carrier phase positioning should be specified in normative work.</w:t>
      </w:r>
      <w:r w:rsidR="006D64EC">
        <w:rPr>
          <w:sz w:val="22"/>
          <w:lang w:val="en-GB"/>
        </w:rPr>
        <w:t xml:space="preserve"> In our view, the basic elements could be defined in this release. The further enhanced and robust solutions could be investigated in next release.</w:t>
      </w:r>
    </w:p>
    <w:p w14:paraId="3C2D7827" w14:textId="77777777" w:rsidR="009B3E3C" w:rsidRDefault="009B3E3C" w:rsidP="00C57BBB">
      <w:pPr>
        <w:jc w:val="both"/>
        <w:rPr>
          <w:sz w:val="22"/>
          <w:lang w:val="en-GB"/>
        </w:rPr>
      </w:pPr>
    </w:p>
    <w:p w14:paraId="1D373471" w14:textId="4C7754AB" w:rsidR="00201E20" w:rsidRDefault="006D64EC" w:rsidP="00C57BBB">
      <w:pPr>
        <w:jc w:val="both"/>
        <w:rPr>
          <w:sz w:val="22"/>
          <w:lang w:val="en-GB"/>
        </w:rPr>
      </w:pPr>
      <w:r>
        <w:rPr>
          <w:sz w:val="22"/>
          <w:lang w:val="en-GB"/>
        </w:rPr>
        <w:t xml:space="preserve">In this contribution, we provide our </w:t>
      </w:r>
      <w:r w:rsidR="00B3105F">
        <w:rPr>
          <w:sz w:val="22"/>
          <w:lang w:val="en-GB"/>
        </w:rPr>
        <w:t>views</w:t>
      </w:r>
      <w:r>
        <w:rPr>
          <w:sz w:val="22"/>
          <w:lang w:val="en-GB"/>
        </w:rPr>
        <w:t xml:space="preserve"> for the measurements and reporting for carrier phase positioning.</w:t>
      </w:r>
    </w:p>
    <w:p w14:paraId="6EC3A27F" w14:textId="533D4698" w:rsidR="0029392A" w:rsidRDefault="0029392A" w:rsidP="00C57BBB">
      <w:pPr>
        <w:jc w:val="both"/>
        <w:rPr>
          <w:sz w:val="22"/>
          <w:lang w:val="en-GB"/>
        </w:rPr>
      </w:pPr>
    </w:p>
    <w:p w14:paraId="530D8E20" w14:textId="77777777" w:rsidR="00A46019" w:rsidRPr="00A46019" w:rsidRDefault="00A46019" w:rsidP="00C57BBB">
      <w:pPr>
        <w:jc w:val="both"/>
        <w:rPr>
          <w:sz w:val="22"/>
        </w:rPr>
      </w:pPr>
    </w:p>
    <w:bookmarkEnd w:id="3"/>
    <w:bookmarkEnd w:id="4"/>
    <w:bookmarkEnd w:id="5"/>
    <w:bookmarkEnd w:id="6"/>
    <w:bookmarkEnd w:id="7"/>
    <w:bookmarkEnd w:id="8"/>
    <w:bookmarkEnd w:id="9"/>
    <w:p w14:paraId="4A123C37" w14:textId="24251951" w:rsidR="001D795B" w:rsidRDefault="00F667DE"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C</w:t>
      </w:r>
      <w:r w:rsidR="002F275C">
        <w:rPr>
          <w:rFonts w:eastAsia="PMingLiU"/>
          <w:sz w:val="32"/>
          <w:szCs w:val="32"/>
          <w:lang w:val="en-US" w:eastAsia="zh-TW"/>
        </w:rPr>
        <w:t>arrier phase</w:t>
      </w:r>
      <w:r>
        <w:rPr>
          <w:rFonts w:eastAsia="PMingLiU"/>
          <w:sz w:val="32"/>
          <w:szCs w:val="32"/>
          <w:lang w:val="en-US" w:eastAsia="zh-TW"/>
        </w:rPr>
        <w:t xml:space="preserve"> measurement and reporting</w:t>
      </w:r>
    </w:p>
    <w:p w14:paraId="23BAD9D4" w14:textId="3C849699" w:rsidR="00BC7892" w:rsidRDefault="00201E20" w:rsidP="00C57BBB">
      <w:pPr>
        <w:contextualSpacing/>
        <w:jc w:val="both"/>
        <w:rPr>
          <w:sz w:val="22"/>
        </w:rPr>
      </w:pPr>
      <w:r>
        <w:rPr>
          <w:sz w:val="22"/>
        </w:rPr>
        <w:t>When a distance between a TRP to a UE is represented in terms of the number of wavelengths</w:t>
      </w:r>
      <w:r w:rsidR="00954F41">
        <w:rPr>
          <w:sz w:val="22"/>
        </w:rPr>
        <w:t xml:space="preserve">, the phase of the signal corresponding </w:t>
      </w:r>
      <w:r w:rsidR="00F667DE">
        <w:rPr>
          <w:sz w:val="22"/>
        </w:rPr>
        <w:t xml:space="preserve">to a </w:t>
      </w:r>
      <w:r w:rsidR="00954F41">
        <w:rPr>
          <w:sz w:val="22"/>
        </w:rPr>
        <w:t>frequency preserves the fractional value. For example, if the distance is equal to 100.87 wavelengths, the value of 0.87 is resided in the signal’s phase, together with s</w:t>
      </w:r>
      <w:r w:rsidR="00B3105F">
        <w:rPr>
          <w:sz w:val="22"/>
        </w:rPr>
        <w:t xml:space="preserve">ome </w:t>
      </w:r>
      <w:r w:rsidR="00954F41">
        <w:rPr>
          <w:sz w:val="22"/>
        </w:rPr>
        <w:t xml:space="preserve">perturbation terms. </w:t>
      </w:r>
      <w:r w:rsidR="00184219">
        <w:rPr>
          <w:sz w:val="22"/>
        </w:rPr>
        <w:t>Instead, the integer cycle number 100 can’t be observed from the phase of a subcarrier.</w:t>
      </w:r>
    </w:p>
    <w:p w14:paraId="2CA6B61C" w14:textId="12A52764" w:rsidR="00201E20" w:rsidRDefault="00201E20" w:rsidP="00C57BBB">
      <w:pPr>
        <w:contextualSpacing/>
        <w:jc w:val="both"/>
        <w:rPr>
          <w:sz w:val="22"/>
        </w:rPr>
      </w:pPr>
    </w:p>
    <w:p w14:paraId="64E4EB49" w14:textId="7B25A34C" w:rsidR="00201E20" w:rsidRDefault="00754132" w:rsidP="00C57BBB">
      <w:pPr>
        <w:contextualSpacing/>
        <w:jc w:val="both"/>
        <w:rPr>
          <w:sz w:val="22"/>
        </w:rPr>
      </w:pPr>
      <w:r>
        <w:rPr>
          <w:sz w:val="22"/>
        </w:rPr>
        <w:t xml:space="preserve">The </w:t>
      </w:r>
      <w:r w:rsidR="00184219">
        <w:rPr>
          <w:sz w:val="22"/>
        </w:rPr>
        <w:t xml:space="preserve">number of </w:t>
      </w:r>
      <w:r>
        <w:rPr>
          <w:sz w:val="22"/>
        </w:rPr>
        <w:t xml:space="preserve">integer </w:t>
      </w:r>
      <w:r w:rsidR="00184219">
        <w:rPr>
          <w:sz w:val="22"/>
        </w:rPr>
        <w:t xml:space="preserve">cycles </w:t>
      </w:r>
      <w:r>
        <w:rPr>
          <w:sz w:val="22"/>
        </w:rPr>
        <w:t xml:space="preserve">for a link </w:t>
      </w:r>
      <w:r w:rsidR="0071711C">
        <w:rPr>
          <w:sz w:val="22"/>
        </w:rPr>
        <w:t xml:space="preserve">(between a TRP and UE) </w:t>
      </w:r>
      <w:r>
        <w:rPr>
          <w:sz w:val="22"/>
        </w:rPr>
        <w:t>needs to be searched.</w:t>
      </w:r>
      <w:r w:rsidR="0071711C">
        <w:rPr>
          <w:sz w:val="22"/>
        </w:rPr>
        <w:t xml:space="preserve"> It can not be observed from the phase.</w:t>
      </w:r>
      <w:r>
        <w:rPr>
          <w:sz w:val="22"/>
        </w:rPr>
        <w:t xml:space="preserve"> </w:t>
      </w:r>
      <w:r w:rsidR="0071711C">
        <w:rPr>
          <w:sz w:val="22"/>
        </w:rPr>
        <w:t>When a UE position is determined based on the measurement on several links, it</w:t>
      </w:r>
      <w:r w:rsidR="00F667DE">
        <w:rPr>
          <w:sz w:val="22"/>
        </w:rPr>
        <w:t xml:space="preserve"> </w:t>
      </w:r>
      <w:r w:rsidR="00017A7A">
        <w:rPr>
          <w:sz w:val="22"/>
        </w:rPr>
        <w:t>require</w:t>
      </w:r>
      <w:r w:rsidR="00F667DE">
        <w:rPr>
          <w:sz w:val="22"/>
        </w:rPr>
        <w:t>s</w:t>
      </w:r>
      <w:r w:rsidR="00017A7A">
        <w:rPr>
          <w:sz w:val="22"/>
        </w:rPr>
        <w:t xml:space="preserve"> the </w:t>
      </w:r>
      <w:r w:rsidR="0071711C">
        <w:rPr>
          <w:sz w:val="22"/>
        </w:rPr>
        <w:t>multi-dimensional search</w:t>
      </w:r>
      <w:r w:rsidR="00017A7A">
        <w:rPr>
          <w:sz w:val="22"/>
        </w:rPr>
        <w:t xml:space="preserve"> for </w:t>
      </w:r>
      <w:r w:rsidR="006666AB">
        <w:rPr>
          <w:sz w:val="22"/>
        </w:rPr>
        <w:t xml:space="preserve">a group of </w:t>
      </w:r>
      <w:r w:rsidR="00017A7A">
        <w:rPr>
          <w:sz w:val="22"/>
        </w:rPr>
        <w:t>integer values, and the complexity increases exponentially, not linearly.</w:t>
      </w:r>
    </w:p>
    <w:p w14:paraId="6DF6A021" w14:textId="296A0634" w:rsidR="003612E5" w:rsidRDefault="003612E5" w:rsidP="00C57BBB">
      <w:pPr>
        <w:contextualSpacing/>
        <w:jc w:val="both"/>
        <w:rPr>
          <w:sz w:val="22"/>
        </w:rPr>
      </w:pPr>
    </w:p>
    <w:p w14:paraId="10F0027E" w14:textId="56DBE63E" w:rsidR="00AD2B79" w:rsidRDefault="003612E5" w:rsidP="00C57BBB">
      <w:pPr>
        <w:contextualSpacing/>
        <w:jc w:val="both"/>
        <w:rPr>
          <w:sz w:val="22"/>
        </w:rPr>
      </w:pPr>
      <w:r>
        <w:rPr>
          <w:sz w:val="22"/>
        </w:rPr>
        <w:t xml:space="preserve">The search of a group of integer values may define the cost function. </w:t>
      </w:r>
      <w:r w:rsidR="00195261">
        <w:rPr>
          <w:sz w:val="22"/>
        </w:rPr>
        <w:t>It is also identified during SI [1] that,</w:t>
      </w:r>
      <w:r>
        <w:rPr>
          <w:sz w:val="22"/>
        </w:rPr>
        <w:t xml:space="preserve"> the error of the phase measurement which reflects on fractional value error will further influence the search. It means the results will be settled at a wrong group of integer values, resulting in the </w:t>
      </w:r>
      <w:r w:rsidR="005C5D97">
        <w:rPr>
          <w:sz w:val="22"/>
        </w:rPr>
        <w:t>UE position offset.</w:t>
      </w:r>
      <w:r w:rsidR="00B61055">
        <w:rPr>
          <w:sz w:val="22"/>
        </w:rPr>
        <w:t xml:space="preserve"> </w:t>
      </w:r>
      <w:r w:rsidR="00AD2B79">
        <w:rPr>
          <w:sz w:val="22"/>
        </w:rPr>
        <w:t>The position error will be even worse than that by using high resolution receiver that is treated as timing measurement, not phase measurement.</w:t>
      </w:r>
    </w:p>
    <w:p w14:paraId="65E04F58" w14:textId="77777777" w:rsidR="00AD2B79" w:rsidRDefault="00AD2B79" w:rsidP="00C57BBB">
      <w:pPr>
        <w:contextualSpacing/>
        <w:jc w:val="both"/>
        <w:rPr>
          <w:sz w:val="22"/>
        </w:rPr>
      </w:pPr>
    </w:p>
    <w:p w14:paraId="0D8A6526" w14:textId="1A0E3750" w:rsidR="00195261" w:rsidRDefault="00B61055" w:rsidP="00C57BBB">
      <w:pPr>
        <w:contextualSpacing/>
        <w:jc w:val="both"/>
        <w:rPr>
          <w:sz w:val="22"/>
        </w:rPr>
      </w:pPr>
      <w:r>
        <w:rPr>
          <w:sz w:val="22"/>
        </w:rPr>
        <w:t xml:space="preserve">On the other hand, if a group of fractional values are measured with certain accuracy, the high accuracy on </w:t>
      </w:r>
      <w:r w:rsidR="00AD2B79">
        <w:rPr>
          <w:sz w:val="22"/>
        </w:rPr>
        <w:t xml:space="preserve">determining the </w:t>
      </w:r>
      <w:r>
        <w:rPr>
          <w:sz w:val="22"/>
        </w:rPr>
        <w:t>UE position can be obtained.</w:t>
      </w:r>
    </w:p>
    <w:p w14:paraId="7A208AE6" w14:textId="4D7D95DC" w:rsidR="00AD2B79" w:rsidRDefault="00AD2B79" w:rsidP="00C57BBB">
      <w:pPr>
        <w:contextualSpacing/>
        <w:jc w:val="both"/>
        <w:rPr>
          <w:sz w:val="22"/>
        </w:rPr>
      </w:pPr>
    </w:p>
    <w:p w14:paraId="65EAFFF2" w14:textId="07D3777A" w:rsidR="00AD2B79" w:rsidRDefault="00AD2B79" w:rsidP="00C57BBB">
      <w:pPr>
        <w:contextualSpacing/>
        <w:jc w:val="both"/>
        <w:rPr>
          <w:sz w:val="22"/>
        </w:rPr>
      </w:pPr>
      <w:r>
        <w:rPr>
          <w:sz w:val="22"/>
        </w:rPr>
        <w:t xml:space="preserve">We then don't expect </w:t>
      </w:r>
      <w:r w:rsidR="0025418B">
        <w:rPr>
          <w:sz w:val="22"/>
        </w:rPr>
        <w:t xml:space="preserve">that </w:t>
      </w:r>
      <w:r>
        <w:rPr>
          <w:sz w:val="22"/>
        </w:rPr>
        <w:t>the phase measurement is a stand-alone way for the following reasons,</w:t>
      </w:r>
    </w:p>
    <w:p w14:paraId="64D5CB32" w14:textId="569B2F87" w:rsidR="00AD2B79" w:rsidRDefault="00AD2B79" w:rsidP="00C57BBB">
      <w:pPr>
        <w:pStyle w:val="ListParagraph"/>
        <w:numPr>
          <w:ilvl w:val="0"/>
          <w:numId w:val="31"/>
        </w:numPr>
        <w:ind w:left="540"/>
        <w:contextualSpacing/>
        <w:jc w:val="both"/>
        <w:rPr>
          <w:sz w:val="22"/>
        </w:rPr>
      </w:pPr>
      <w:r>
        <w:rPr>
          <w:sz w:val="22"/>
        </w:rPr>
        <w:t>The phase measurement is quite sensitive</w:t>
      </w:r>
    </w:p>
    <w:p w14:paraId="1A7B2E54" w14:textId="605ADAC6" w:rsidR="0025418B" w:rsidRDefault="0025418B" w:rsidP="00C57BBB">
      <w:pPr>
        <w:pStyle w:val="ListParagraph"/>
        <w:numPr>
          <w:ilvl w:val="0"/>
          <w:numId w:val="31"/>
        </w:numPr>
        <w:ind w:left="540"/>
        <w:contextualSpacing/>
        <w:jc w:val="both"/>
        <w:rPr>
          <w:sz w:val="22"/>
        </w:rPr>
      </w:pPr>
      <w:r>
        <w:rPr>
          <w:sz w:val="22"/>
        </w:rPr>
        <w:t>The search may require intensive computation</w:t>
      </w:r>
    </w:p>
    <w:p w14:paraId="1887B872" w14:textId="0BD661EF" w:rsidR="00422ED8" w:rsidRDefault="00422ED8" w:rsidP="00C57BBB">
      <w:pPr>
        <w:contextualSpacing/>
        <w:jc w:val="both"/>
        <w:rPr>
          <w:sz w:val="22"/>
        </w:rPr>
      </w:pPr>
    </w:p>
    <w:p w14:paraId="3A77BF5A" w14:textId="2117657C" w:rsidR="00422ED8" w:rsidRDefault="00422ED8" w:rsidP="00C57BBB">
      <w:pPr>
        <w:contextualSpacing/>
        <w:jc w:val="both"/>
        <w:rPr>
          <w:sz w:val="22"/>
        </w:rPr>
      </w:pPr>
      <w:r>
        <w:rPr>
          <w:sz w:val="22"/>
        </w:rPr>
        <w:t xml:space="preserve">An example in [2] also the </w:t>
      </w:r>
      <w:r w:rsidR="000B3719">
        <w:rPr>
          <w:sz w:val="22"/>
        </w:rPr>
        <w:t xml:space="preserve">search </w:t>
      </w:r>
      <w:r>
        <w:rPr>
          <w:sz w:val="22"/>
        </w:rPr>
        <w:t xml:space="preserve">complexity. If </w:t>
      </w:r>
      <w:r w:rsidR="000B3719">
        <w:rPr>
          <w:sz w:val="22"/>
        </w:rPr>
        <w:t>a</w:t>
      </w:r>
      <w:r>
        <w:rPr>
          <w:sz w:val="22"/>
        </w:rPr>
        <w:t xml:space="preserve"> TOA measurement is based on the peak of CIR by IFFT method, then under SCS=30KHz with 100MHz BW, the base period is 8.13ns, and the true arrival time maybe between -4ns and 4ns of the selected peak. For 4GHz carrier frequency, the time to propagate a wavelength’s distance is 0.25ns</w:t>
      </w:r>
      <w:r w:rsidR="009E7668">
        <w:rPr>
          <w:sz w:val="22"/>
        </w:rPr>
        <w:t>. This means the search range around the select peak for a TOA measurement would be between -16 wavelengths and 16 wavelengths when it is represented by propagation distance.</w:t>
      </w:r>
      <w:r w:rsidR="00E95A9E">
        <w:rPr>
          <w:sz w:val="22"/>
        </w:rPr>
        <w:t xml:space="preserve"> The search effort grows exponentially with the increase of measurement number.</w:t>
      </w:r>
      <w:r>
        <w:rPr>
          <w:sz w:val="22"/>
        </w:rPr>
        <w:t xml:space="preserve"> </w:t>
      </w:r>
    </w:p>
    <w:p w14:paraId="51D51FE0" w14:textId="77777777" w:rsidR="00422ED8" w:rsidRPr="00422ED8" w:rsidRDefault="00422ED8" w:rsidP="00C57BBB">
      <w:pPr>
        <w:contextualSpacing/>
        <w:jc w:val="both"/>
        <w:rPr>
          <w:sz w:val="22"/>
        </w:rPr>
      </w:pPr>
    </w:p>
    <w:p w14:paraId="392B58A8" w14:textId="0AFD98CD" w:rsidR="005C5D97" w:rsidRDefault="00B76F3B" w:rsidP="00C57BBB">
      <w:pPr>
        <w:contextualSpacing/>
        <w:jc w:val="both"/>
        <w:rPr>
          <w:sz w:val="22"/>
        </w:rPr>
      </w:pPr>
      <w:r>
        <w:rPr>
          <w:sz w:val="22"/>
        </w:rPr>
        <w:t xml:space="preserve">For UE assisted mode, the search may rely on LMF. The search is implementation specific and therefore it is not clear that how </w:t>
      </w:r>
      <w:r w:rsidR="000B3719">
        <w:rPr>
          <w:sz w:val="22"/>
        </w:rPr>
        <w:t xml:space="preserve">a </w:t>
      </w:r>
      <w:r>
        <w:rPr>
          <w:sz w:val="22"/>
        </w:rPr>
        <w:t>LMF may de</w:t>
      </w:r>
      <w:r w:rsidR="000B3719">
        <w:rPr>
          <w:sz w:val="22"/>
        </w:rPr>
        <w:t xml:space="preserve">termine </w:t>
      </w:r>
      <w:r>
        <w:rPr>
          <w:sz w:val="22"/>
        </w:rPr>
        <w:t>the search range. One possible solution to reduce the search effort is that, UE reports the search range</w:t>
      </w:r>
      <w:r w:rsidR="00A93E13">
        <w:rPr>
          <w:sz w:val="22"/>
        </w:rPr>
        <w:t xml:space="preserve"> for each phase measurement</w:t>
      </w:r>
      <w:r>
        <w:rPr>
          <w:sz w:val="22"/>
        </w:rPr>
        <w:t xml:space="preserve">, and </w:t>
      </w:r>
      <w:r w:rsidR="000B3719">
        <w:rPr>
          <w:sz w:val="22"/>
        </w:rPr>
        <w:t xml:space="preserve">so that </w:t>
      </w:r>
      <w:r>
        <w:rPr>
          <w:sz w:val="22"/>
        </w:rPr>
        <w:t xml:space="preserve">LMF performs the search based on </w:t>
      </w:r>
      <w:r w:rsidR="000B3719">
        <w:rPr>
          <w:sz w:val="22"/>
        </w:rPr>
        <w:t xml:space="preserve">both </w:t>
      </w:r>
      <w:r>
        <w:rPr>
          <w:sz w:val="22"/>
        </w:rPr>
        <w:t>the own search capability and the suggested search range.</w:t>
      </w:r>
    </w:p>
    <w:p w14:paraId="3DDBB436" w14:textId="309D4DE1" w:rsidR="00A93E13" w:rsidRDefault="00A93E13" w:rsidP="00C57BBB">
      <w:pPr>
        <w:contextualSpacing/>
        <w:jc w:val="both"/>
        <w:rPr>
          <w:sz w:val="22"/>
        </w:rPr>
      </w:pPr>
    </w:p>
    <w:p w14:paraId="1DC18C3A" w14:textId="18B7722F" w:rsidR="00A93E13" w:rsidRDefault="00A93E13" w:rsidP="00C57BBB">
      <w:pPr>
        <w:contextualSpacing/>
        <w:jc w:val="both"/>
        <w:rPr>
          <w:sz w:val="22"/>
        </w:rPr>
      </w:pPr>
      <w:r>
        <w:rPr>
          <w:sz w:val="22"/>
        </w:rPr>
        <w:t>We have also shown in [2] that, the high resolution receiver is able to detect the peak in terms of wavelength number, which is able to identify a shorter search range. The search range reporting could be UE capability.</w:t>
      </w:r>
    </w:p>
    <w:p w14:paraId="21BB1910" w14:textId="77777777" w:rsidR="00B76F3B" w:rsidRDefault="00B76F3B" w:rsidP="00C57BBB">
      <w:pPr>
        <w:contextualSpacing/>
        <w:jc w:val="both"/>
        <w:rPr>
          <w:sz w:val="22"/>
        </w:rPr>
      </w:pPr>
    </w:p>
    <w:p w14:paraId="57A4FB4E" w14:textId="398F37CD" w:rsidR="00195261" w:rsidRDefault="00195261" w:rsidP="00C57BBB">
      <w:pPr>
        <w:contextualSpacing/>
        <w:jc w:val="both"/>
        <w:rPr>
          <w:sz w:val="22"/>
        </w:rPr>
      </w:pPr>
      <w:r>
        <w:rPr>
          <w:sz w:val="22"/>
        </w:rPr>
        <w:t>We may determine</w:t>
      </w:r>
    </w:p>
    <w:p w14:paraId="465C7D6D" w14:textId="69D713F6" w:rsidR="00195261" w:rsidRDefault="00195261" w:rsidP="00C57BBB">
      <w:pPr>
        <w:pStyle w:val="ListParagraph"/>
        <w:numPr>
          <w:ilvl w:val="0"/>
          <w:numId w:val="30"/>
        </w:numPr>
        <w:contextualSpacing/>
        <w:jc w:val="both"/>
        <w:rPr>
          <w:sz w:val="22"/>
        </w:rPr>
      </w:pPr>
      <w:r>
        <w:rPr>
          <w:sz w:val="22"/>
        </w:rPr>
        <w:t xml:space="preserve">The </w:t>
      </w:r>
      <w:r w:rsidR="003612E5">
        <w:rPr>
          <w:sz w:val="22"/>
        </w:rPr>
        <w:t xml:space="preserve">reporting of the </w:t>
      </w:r>
      <w:r>
        <w:rPr>
          <w:sz w:val="22"/>
        </w:rPr>
        <w:t xml:space="preserve">phase </w:t>
      </w:r>
      <w:r w:rsidR="003612E5">
        <w:rPr>
          <w:sz w:val="22"/>
        </w:rPr>
        <w:t>measurement is based on</w:t>
      </w:r>
      <w:r>
        <w:rPr>
          <w:sz w:val="22"/>
        </w:rPr>
        <w:t xml:space="preserve"> which subcarrier?</w:t>
      </w:r>
    </w:p>
    <w:p w14:paraId="00E0FA2F" w14:textId="2D63EF91" w:rsidR="00195261" w:rsidRDefault="00AC2647" w:rsidP="00C57BBB">
      <w:pPr>
        <w:pStyle w:val="ListParagraph"/>
        <w:numPr>
          <w:ilvl w:val="0"/>
          <w:numId w:val="30"/>
        </w:numPr>
        <w:contextualSpacing/>
        <w:jc w:val="both"/>
        <w:rPr>
          <w:sz w:val="22"/>
        </w:rPr>
      </w:pPr>
      <w:r>
        <w:rPr>
          <w:sz w:val="22"/>
        </w:rPr>
        <w:t>The unit of phase measurement for reporting</w:t>
      </w:r>
    </w:p>
    <w:p w14:paraId="6DEA69FC" w14:textId="37B4009A" w:rsidR="00AC2647" w:rsidRDefault="00AC2647" w:rsidP="00C57BBB">
      <w:pPr>
        <w:contextualSpacing/>
        <w:jc w:val="both"/>
        <w:rPr>
          <w:sz w:val="22"/>
        </w:rPr>
      </w:pPr>
    </w:p>
    <w:p w14:paraId="0F87F4AE" w14:textId="17E7DD3F" w:rsidR="00AC2647" w:rsidRDefault="00AC2647" w:rsidP="00C57BBB">
      <w:pPr>
        <w:contextualSpacing/>
        <w:jc w:val="both"/>
        <w:rPr>
          <w:sz w:val="22"/>
        </w:rPr>
      </w:pPr>
      <w:r>
        <w:rPr>
          <w:sz w:val="22"/>
        </w:rPr>
        <w:t xml:space="preserve">The double difference method also requires PRUs for phase measurements to facilitate the cancellation. Then it may require the phase measurement on a same subcarrier. Whether a UE could perform the phase measurement on any subcarrier is UE capability. In [2], we have identified that, for a commonly applied IFFT method, the observed phase on the first path in time domain is strong related to the phase </w:t>
      </w:r>
      <w:r w:rsidR="005231DC">
        <w:rPr>
          <w:sz w:val="22"/>
        </w:rPr>
        <w:t xml:space="preserve">corresponding to the first arrival path </w:t>
      </w:r>
      <w:r>
        <w:rPr>
          <w:sz w:val="22"/>
        </w:rPr>
        <w:t xml:space="preserve">on the (N/2+1)-th element of </w:t>
      </w:r>
      <w:r w:rsidR="005231DC">
        <w:rPr>
          <w:sz w:val="22"/>
        </w:rPr>
        <w:t>the</w:t>
      </w:r>
      <w:r>
        <w:rPr>
          <w:sz w:val="22"/>
        </w:rPr>
        <w:t xml:space="preserve"> CFR </w:t>
      </w:r>
      <w:r w:rsidR="005231DC">
        <w:rPr>
          <w:sz w:val="22"/>
        </w:rPr>
        <w:t xml:space="preserve">vector </w:t>
      </w:r>
      <w:r>
        <w:rPr>
          <w:sz w:val="22"/>
        </w:rPr>
        <w:t>for performing IFFT. Then when a large size of IFFT is performed, the (N/2+1)-th element is the subcarrier of DC at baseband.</w:t>
      </w:r>
    </w:p>
    <w:p w14:paraId="21F14942" w14:textId="4094231F" w:rsidR="005231DC" w:rsidRDefault="005231DC" w:rsidP="00C57BBB">
      <w:pPr>
        <w:contextualSpacing/>
        <w:jc w:val="both"/>
        <w:rPr>
          <w:sz w:val="22"/>
        </w:rPr>
      </w:pPr>
    </w:p>
    <w:p w14:paraId="0E14344E" w14:textId="387276E0" w:rsidR="005231DC" w:rsidRDefault="005231DC" w:rsidP="00C57BBB">
      <w:pPr>
        <w:contextualSpacing/>
        <w:jc w:val="both"/>
        <w:rPr>
          <w:sz w:val="22"/>
        </w:rPr>
      </w:pPr>
      <w:r>
        <w:rPr>
          <w:sz w:val="22"/>
        </w:rPr>
        <w:t xml:space="preserve">Note that the direct </w:t>
      </w:r>
      <w:r w:rsidR="003F324D">
        <w:rPr>
          <w:sz w:val="22"/>
        </w:rPr>
        <w:t xml:space="preserve">measurement </w:t>
      </w:r>
      <w:r>
        <w:rPr>
          <w:sz w:val="22"/>
        </w:rPr>
        <w:t>on the phase of a subcarrier in frequency domain will be impacted by multipath. This is the main reason that IFFT method is used to suppress the influence by other paths</w:t>
      </w:r>
      <w:r w:rsidR="00C57BBB">
        <w:rPr>
          <w:sz w:val="22"/>
        </w:rPr>
        <w:t>.</w:t>
      </w:r>
    </w:p>
    <w:p w14:paraId="07E3BD30" w14:textId="46DDA1D8" w:rsidR="00AC2647" w:rsidRDefault="00AC2647" w:rsidP="00C57BBB">
      <w:pPr>
        <w:contextualSpacing/>
        <w:jc w:val="both"/>
        <w:rPr>
          <w:sz w:val="22"/>
        </w:rPr>
      </w:pPr>
    </w:p>
    <w:p w14:paraId="3F96B948" w14:textId="1619A1F2" w:rsidR="00AC2647" w:rsidRDefault="00AC2647" w:rsidP="00C57BBB">
      <w:pPr>
        <w:contextualSpacing/>
        <w:jc w:val="both"/>
        <w:rPr>
          <w:sz w:val="22"/>
        </w:rPr>
      </w:pPr>
      <w:r>
        <w:rPr>
          <w:sz w:val="22"/>
        </w:rPr>
        <w:t>This also means, when a smaller size of IFFT is performed, the ph</w:t>
      </w:r>
      <w:r w:rsidR="005231DC">
        <w:rPr>
          <w:sz w:val="22"/>
        </w:rPr>
        <w:t xml:space="preserve">ase of the subcarrier other than the DC could be observed. The high resolution receiver that directly </w:t>
      </w:r>
      <w:r w:rsidR="00B3105F">
        <w:rPr>
          <w:sz w:val="22"/>
        </w:rPr>
        <w:t>operates</w:t>
      </w:r>
      <w:r w:rsidR="005231DC">
        <w:rPr>
          <w:sz w:val="22"/>
        </w:rPr>
        <w:t xml:space="preserve"> in frequency domain is also able to observe the phase in any subcarrier. </w:t>
      </w:r>
      <w:r w:rsidR="00BE028B">
        <w:rPr>
          <w:sz w:val="22"/>
        </w:rPr>
        <w:t>Then similar to RSRPP measurement definition, the definition of carrier phase measurement could be independent on the time or frequency domain.</w:t>
      </w:r>
    </w:p>
    <w:p w14:paraId="6082BC1B" w14:textId="12773758" w:rsidR="003F324D" w:rsidRDefault="003F324D" w:rsidP="00C57BBB">
      <w:pPr>
        <w:contextualSpacing/>
        <w:jc w:val="both"/>
        <w:rPr>
          <w:sz w:val="22"/>
        </w:rPr>
      </w:pPr>
    </w:p>
    <w:p w14:paraId="0292F527" w14:textId="1226A55F" w:rsidR="003F324D" w:rsidRDefault="003F324D" w:rsidP="00C57BBB">
      <w:pPr>
        <w:contextualSpacing/>
        <w:jc w:val="both"/>
        <w:rPr>
          <w:sz w:val="22"/>
        </w:rPr>
      </w:pPr>
      <w:r>
        <w:rPr>
          <w:sz w:val="22"/>
        </w:rPr>
        <w:t xml:space="preserve">Therefore, the common ground is the measurement of the phase on DC tone. The measurement on DC tone is indirect, since DC tone may not transmit the signal, and there is filter around DC to </w:t>
      </w:r>
      <w:r w:rsidR="00BE028B">
        <w:rPr>
          <w:sz w:val="22"/>
        </w:rPr>
        <w:t>remove DC offset impact.</w:t>
      </w:r>
      <w:r w:rsidR="00C57BBB">
        <w:rPr>
          <w:sz w:val="22"/>
        </w:rPr>
        <w:t xml:space="preserve"> Note that IFFT method could be treated as obtaining the phase on DC tone through the interpolation.</w:t>
      </w:r>
    </w:p>
    <w:p w14:paraId="4D1DD470" w14:textId="7E733727" w:rsidR="00AC2647" w:rsidRDefault="00AC2647" w:rsidP="00C57BBB">
      <w:pPr>
        <w:contextualSpacing/>
        <w:jc w:val="both"/>
        <w:rPr>
          <w:sz w:val="22"/>
        </w:rPr>
      </w:pPr>
    </w:p>
    <w:p w14:paraId="2517CE94" w14:textId="3747BC92" w:rsidR="00AB7515" w:rsidRDefault="00AB7515" w:rsidP="00C57BBB">
      <w:pPr>
        <w:contextualSpacing/>
        <w:jc w:val="both"/>
        <w:rPr>
          <w:sz w:val="22"/>
        </w:rPr>
      </w:pPr>
      <w:r>
        <w:rPr>
          <w:sz w:val="22"/>
        </w:rPr>
        <w:t>When phase measurement is reported with RSTD measurement, the phase measurement is associated with the phase difference</w:t>
      </w:r>
      <w:r w:rsidR="001E20CE">
        <w:rPr>
          <w:sz w:val="22"/>
        </w:rPr>
        <w:t>.</w:t>
      </w:r>
    </w:p>
    <w:p w14:paraId="561A0887" w14:textId="3FC5F491" w:rsidR="001E20CE" w:rsidRDefault="001E20CE" w:rsidP="00C57BBB">
      <w:pPr>
        <w:contextualSpacing/>
        <w:jc w:val="both"/>
        <w:rPr>
          <w:sz w:val="22"/>
        </w:rPr>
      </w:pPr>
    </w:p>
    <w:p w14:paraId="28442A21" w14:textId="21DB6E13" w:rsidR="001E20CE" w:rsidRPr="00AC2647" w:rsidRDefault="001E20CE" w:rsidP="00C57BBB">
      <w:pPr>
        <w:contextualSpacing/>
        <w:jc w:val="both"/>
        <w:rPr>
          <w:sz w:val="22"/>
        </w:rPr>
      </w:pPr>
      <w:r>
        <w:rPr>
          <w:sz w:val="22"/>
        </w:rPr>
        <w:t xml:space="preserve">A fractional wavelength value could be represented between 0 and 1, or between 0 degree and 360 degree. For the phase difference reporting together with RSTD reporting, the range of -1 to 1 and -360 degree to 360 degree maybe used. We slightly prefer using the </w:t>
      </w:r>
      <w:r w:rsidR="00E67AFB">
        <w:rPr>
          <w:sz w:val="22"/>
        </w:rPr>
        <w:t xml:space="preserve">angle in </w:t>
      </w:r>
      <w:r>
        <w:rPr>
          <w:sz w:val="22"/>
        </w:rPr>
        <w:t>degree.</w:t>
      </w:r>
    </w:p>
    <w:p w14:paraId="3C457298" w14:textId="011A65A6" w:rsidR="0071711C" w:rsidRDefault="0071711C" w:rsidP="002F275C">
      <w:pPr>
        <w:contextualSpacing/>
        <w:jc w:val="both"/>
        <w:rPr>
          <w:sz w:val="22"/>
        </w:rPr>
      </w:pPr>
    </w:p>
    <w:p w14:paraId="6CBA2FCC" w14:textId="0DCACE3E" w:rsidR="0027685E" w:rsidRDefault="008E699A" w:rsidP="002F275C">
      <w:pPr>
        <w:contextualSpacing/>
        <w:jc w:val="both"/>
        <w:rPr>
          <w:sz w:val="22"/>
        </w:rPr>
      </w:pPr>
      <w:r>
        <w:rPr>
          <w:sz w:val="22"/>
        </w:rPr>
        <w:t>To further look at the equation</w:t>
      </w:r>
    </w:p>
    <w:p w14:paraId="6CB44582" w14:textId="777EC500" w:rsidR="008E699A" w:rsidRDefault="008E699A" w:rsidP="002F275C">
      <w:pPr>
        <w:contextualSpacing/>
        <w:jc w:val="both"/>
        <w:rPr>
          <w:sz w:val="22"/>
        </w:rPr>
      </w:pPr>
      <w:r>
        <w:rPr>
          <w:noProof/>
        </w:rPr>
        <w:drawing>
          <wp:inline distT="0" distB="0" distL="0" distR="0" wp14:anchorId="22DBCA1F" wp14:editId="64E5C4ED">
            <wp:extent cx="5340096" cy="320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0096" cy="320040"/>
                    </a:xfrm>
                    <a:prstGeom prst="rect">
                      <a:avLst/>
                    </a:prstGeom>
                  </pic:spPr>
                </pic:pic>
              </a:graphicData>
            </a:graphic>
          </wp:inline>
        </w:drawing>
      </w:r>
    </w:p>
    <w:p w14:paraId="5ADB70C7" w14:textId="55588DD4" w:rsidR="008E699A" w:rsidRPr="008E699A" w:rsidRDefault="008E699A" w:rsidP="008E699A">
      <w:pPr>
        <w:jc w:val="both"/>
        <w:rPr>
          <w:sz w:val="22"/>
          <w:lang w:val="en-GB"/>
        </w:rPr>
      </w:pPr>
      <w:r w:rsidRPr="008E699A">
        <w:rPr>
          <w:sz w:val="22"/>
          <w:lang w:val="en-GB"/>
        </w:rPr>
        <w:t>where,</w:t>
      </w:r>
    </w:p>
    <w:p w14:paraId="2F827981" w14:textId="77777777" w:rsidR="008E699A" w:rsidRPr="008E699A" w:rsidRDefault="008E699A" w:rsidP="008E699A">
      <w:pPr>
        <w:numPr>
          <w:ilvl w:val="0"/>
          <w:numId w:val="32"/>
        </w:numPr>
        <w:ind w:left="360" w:hanging="180"/>
        <w:jc w:val="both"/>
        <w:rPr>
          <w:rFonts w:cs="PMingLiU"/>
          <w:sz w:val="22"/>
          <w:lang w:val="en-GB"/>
        </w:rPr>
      </w:pPr>
      <w:r w:rsidRPr="008E699A">
        <w:rPr>
          <w:rFonts w:cs="PMingLiU"/>
          <w:sz w:val="22"/>
          <w:lang w:val="en-GB"/>
        </w:rPr>
        <w:t>fc denotes the carrier frequency, fa denotes the frequency of a subcarrier</w:t>
      </w:r>
    </w:p>
    <w:p w14:paraId="3B7C2354" w14:textId="77777777" w:rsidR="008E699A" w:rsidRPr="008E699A" w:rsidRDefault="008E699A" w:rsidP="008E699A">
      <w:pPr>
        <w:numPr>
          <w:ilvl w:val="0"/>
          <w:numId w:val="32"/>
        </w:numPr>
        <w:ind w:left="360" w:hanging="180"/>
        <w:jc w:val="both"/>
        <w:rPr>
          <w:rFonts w:cs="PMingLiU"/>
          <w:sz w:val="22"/>
        </w:rPr>
      </w:pPr>
      <m:oMath>
        <m:r>
          <w:rPr>
            <w:rFonts w:ascii="Cambria Math" w:hAnsi="Cambria Math" w:cs="PMingLiU"/>
            <w:sz w:val="22"/>
            <w:lang w:val="en-GB"/>
          </w:rPr>
          <m:t>ϕ</m:t>
        </m:r>
        <m:d>
          <m:dPr>
            <m:ctrlPr>
              <w:rPr>
                <w:rFonts w:ascii="Cambria Math" w:hAnsi="Cambria Math" w:cs="PMingLiU"/>
                <w:i/>
                <w:sz w:val="22"/>
                <w:lang w:val="en-GB"/>
              </w:rPr>
            </m:ctrlPr>
          </m:dPr>
          <m:e>
            <m:r>
              <w:rPr>
                <w:rFonts w:ascii="Cambria Math" w:hAnsi="Cambria Math" w:cs="PMingLiU"/>
                <w:sz w:val="22"/>
                <w:lang w:val="en-GB"/>
              </w:rPr>
              <m:t>0</m:t>
            </m:r>
          </m:e>
        </m:d>
        <m:r>
          <w:rPr>
            <w:rFonts w:ascii="Cambria Math" w:hAnsi="Cambria Math" w:cs="PMingLiU"/>
            <w:sz w:val="22"/>
            <w:lang w:val="en-GB"/>
          </w:rPr>
          <m:t>- ψ</m:t>
        </m:r>
        <m:d>
          <m:dPr>
            <m:ctrlPr>
              <w:rPr>
                <w:rFonts w:ascii="Cambria Math" w:hAnsi="Cambria Math" w:cs="PMingLiU"/>
                <w:i/>
                <w:sz w:val="22"/>
                <w:lang w:val="en-GB"/>
              </w:rPr>
            </m:ctrlPr>
          </m:dPr>
          <m:e>
            <m:r>
              <w:rPr>
                <w:rFonts w:ascii="Cambria Math" w:hAnsi="Cambria Math" w:cs="PMingLiU"/>
                <w:sz w:val="22"/>
                <w:lang w:val="en-GB"/>
              </w:rPr>
              <m:t>0</m:t>
            </m:r>
          </m:e>
        </m:d>
      </m:oMath>
      <w:r w:rsidRPr="008E699A">
        <w:rPr>
          <w:rFonts w:cs="PMingLiU"/>
          <w:sz w:val="22"/>
          <w:lang w:val="en-GB"/>
        </w:rPr>
        <w:t xml:space="preserve"> denotes the initial phase mismatch between TX and RX oscillator</w:t>
      </w:r>
    </w:p>
    <w:p w14:paraId="246422B6" w14:textId="77777777" w:rsidR="008E699A" w:rsidRPr="008E699A" w:rsidRDefault="008E699A" w:rsidP="008E699A">
      <w:pPr>
        <w:numPr>
          <w:ilvl w:val="0"/>
          <w:numId w:val="32"/>
        </w:numPr>
        <w:ind w:left="360" w:hanging="180"/>
        <w:jc w:val="both"/>
        <w:rPr>
          <w:rFonts w:cs="PMingLiU"/>
          <w:sz w:val="22"/>
        </w:rPr>
      </w:pPr>
      <m:oMath>
        <m:sSub>
          <m:sSubPr>
            <m:ctrlPr>
              <w:rPr>
                <w:rFonts w:ascii="Cambria Math" w:hAnsi="Cambria Math" w:cs="PMingLiU"/>
                <w:i/>
                <w:sz w:val="22"/>
                <w:lang w:val="en-GB"/>
              </w:rPr>
            </m:ctrlPr>
          </m:sSubPr>
          <m:e>
            <m:r>
              <w:rPr>
                <w:rFonts w:ascii="Cambria Math" w:hAnsi="Cambria Math" w:cs="PMingLiU"/>
                <w:sz w:val="22"/>
                <w:lang w:val="en-GB"/>
              </w:rPr>
              <m:t>t</m:t>
            </m:r>
          </m:e>
          <m:sub>
            <m:r>
              <w:rPr>
                <w:rFonts w:ascii="Cambria Math" w:hAnsi="Cambria Math" w:cs="PMingLiU"/>
                <w:sz w:val="22"/>
                <w:lang w:val="en-GB"/>
              </w:rPr>
              <m:t>TX</m:t>
            </m:r>
          </m:sub>
        </m:sSub>
      </m:oMath>
      <w:r w:rsidRPr="008E699A">
        <w:rPr>
          <w:rFonts w:cs="PMingLiU"/>
          <w:sz w:val="22"/>
          <w:lang w:val="en-GB"/>
        </w:rPr>
        <w:t xml:space="preserve"> denotes the transmission timing of the signal</w:t>
      </w:r>
    </w:p>
    <w:p w14:paraId="309467C0" w14:textId="77777777" w:rsidR="008E699A" w:rsidRPr="008E699A" w:rsidRDefault="008E699A" w:rsidP="008E699A">
      <w:pPr>
        <w:numPr>
          <w:ilvl w:val="0"/>
          <w:numId w:val="32"/>
        </w:numPr>
        <w:ind w:left="360" w:hanging="180"/>
        <w:jc w:val="both"/>
        <w:rPr>
          <w:rFonts w:cs="PMingLiU"/>
          <w:sz w:val="22"/>
        </w:rPr>
      </w:pPr>
      <m:oMath>
        <m:sSub>
          <m:sSubPr>
            <m:ctrlPr>
              <w:rPr>
                <w:rFonts w:ascii="Cambria Math" w:hAnsi="Cambria Math" w:cs="PMingLiU"/>
                <w:i/>
                <w:sz w:val="22"/>
              </w:rPr>
            </m:ctrlPr>
          </m:sSubPr>
          <m:e>
            <m:r>
              <w:rPr>
                <w:rFonts w:ascii="Cambria Math" w:hAnsi="Cambria Math" w:cs="PMingLiU"/>
                <w:sz w:val="22"/>
              </w:rPr>
              <m:t>t</m:t>
            </m:r>
          </m:e>
          <m:sub>
            <m:r>
              <w:rPr>
                <w:rFonts w:ascii="Cambria Math" w:hAnsi="Cambria Math" w:cs="PMingLiU"/>
                <w:sz w:val="22"/>
              </w:rPr>
              <m:t>RX</m:t>
            </m:r>
          </m:sub>
        </m:sSub>
      </m:oMath>
      <w:r w:rsidRPr="008E699A">
        <w:rPr>
          <w:rFonts w:cs="PMingLiU"/>
          <w:sz w:val="22"/>
        </w:rPr>
        <w:t xml:space="preserve"> denotes the arrival timing of the signal</w:t>
      </w:r>
    </w:p>
    <w:p w14:paraId="485CFD1A" w14:textId="77777777" w:rsidR="008E699A" w:rsidRPr="008E699A" w:rsidRDefault="008E699A" w:rsidP="008E699A">
      <w:pPr>
        <w:numPr>
          <w:ilvl w:val="0"/>
          <w:numId w:val="32"/>
        </w:numPr>
        <w:ind w:left="360" w:hanging="180"/>
        <w:jc w:val="both"/>
        <w:rPr>
          <w:rFonts w:cs="PMingLiU"/>
          <w:sz w:val="22"/>
        </w:rPr>
      </w:pPr>
      <m:oMath>
        <m:sSub>
          <m:sSubPr>
            <m:ctrlPr>
              <w:rPr>
                <w:rFonts w:ascii="Cambria Math" w:hAnsi="Cambria Math" w:cs="PMingLiU"/>
                <w:i/>
                <w:sz w:val="22"/>
              </w:rPr>
            </m:ctrlPr>
          </m:sSubPr>
          <m:e>
            <m:r>
              <m:rPr>
                <m:sty m:val="p"/>
              </m:rPr>
              <w:rPr>
                <w:rFonts w:ascii="Cambria Math" w:hAnsi="Cambria Math" w:cs="PMingLiU"/>
                <w:sz w:val="22"/>
              </w:rPr>
              <m:t>Δ</m:t>
            </m:r>
            <m:r>
              <w:rPr>
                <w:rFonts w:ascii="Cambria Math" w:hAnsi="Cambria Math" w:cs="PMingLiU"/>
                <w:sz w:val="22"/>
              </w:rPr>
              <m:t>t</m:t>
            </m:r>
          </m:e>
          <m:sub>
            <m:r>
              <w:rPr>
                <w:rFonts w:ascii="Cambria Math" w:hAnsi="Cambria Math" w:cs="PMingLiU"/>
                <w:sz w:val="22"/>
              </w:rPr>
              <m:t>RX'</m:t>
            </m:r>
          </m:sub>
        </m:sSub>
      </m:oMath>
      <w:r w:rsidRPr="008E699A">
        <w:rPr>
          <w:rFonts w:cs="PMingLiU"/>
          <w:sz w:val="22"/>
        </w:rPr>
        <w:t xml:space="preserve"> denotes the slot (or symbol) boundary offset between TX and RX</w:t>
      </w:r>
    </w:p>
    <w:p w14:paraId="3266ABCF" w14:textId="77777777" w:rsidR="008E699A" w:rsidRPr="008E699A" w:rsidRDefault="008E699A" w:rsidP="008E699A">
      <w:pPr>
        <w:numPr>
          <w:ilvl w:val="0"/>
          <w:numId w:val="32"/>
        </w:numPr>
        <w:ind w:left="360" w:hanging="180"/>
        <w:jc w:val="both"/>
        <w:rPr>
          <w:rFonts w:cs="PMingLiU"/>
          <w:sz w:val="22"/>
        </w:rPr>
      </w:pPr>
      <m:oMath>
        <m:sSub>
          <m:sSubPr>
            <m:ctrlPr>
              <w:rPr>
                <w:rFonts w:ascii="Cambria Math" w:hAnsi="Cambria Math" w:cs="PMingLiU"/>
                <w:i/>
                <w:sz w:val="22"/>
              </w:rPr>
            </m:ctrlPr>
          </m:sSubPr>
          <m:e>
            <m:r>
              <w:rPr>
                <w:rFonts w:ascii="Cambria Math" w:hAnsi="Cambria Math" w:cs="PMingLiU"/>
                <w:sz w:val="22"/>
              </w:rPr>
              <m:t>f</m:t>
            </m:r>
          </m:e>
          <m:sub>
            <m:r>
              <w:rPr>
                <w:rFonts w:ascii="Cambria Math" w:hAnsi="Cambria Math" w:cs="PMingLiU"/>
                <w:sz w:val="22"/>
              </w:rPr>
              <m:t>a</m:t>
            </m:r>
          </m:sub>
        </m:sSub>
        <m:r>
          <w:rPr>
            <w:rFonts w:ascii="Cambria Math" w:hAnsi="Cambria Math" w:cs="PMingLiU"/>
            <w:sz w:val="22"/>
          </w:rPr>
          <m:t>*</m:t>
        </m:r>
        <m:d>
          <m:dPr>
            <m:ctrlPr>
              <w:rPr>
                <w:rFonts w:ascii="Cambria Math" w:hAnsi="Cambria Math" w:cs="PMingLiU"/>
                <w:i/>
                <w:sz w:val="22"/>
              </w:rPr>
            </m:ctrlPr>
          </m:dPr>
          <m:e>
            <m:sSub>
              <m:sSubPr>
                <m:ctrlPr>
                  <w:rPr>
                    <w:rFonts w:ascii="Cambria Math" w:hAnsi="Cambria Math" w:cs="PMingLiU"/>
                    <w:i/>
                    <w:sz w:val="22"/>
                  </w:rPr>
                </m:ctrlPr>
              </m:sSubPr>
              <m:e>
                <m:r>
                  <w:rPr>
                    <w:rFonts w:ascii="Cambria Math" w:hAnsi="Cambria Math" w:cs="PMingLiU"/>
                    <w:sz w:val="22"/>
                  </w:rPr>
                  <m:t>t</m:t>
                </m:r>
              </m:e>
              <m:sub>
                <m:r>
                  <w:rPr>
                    <w:rFonts w:ascii="Cambria Math" w:hAnsi="Cambria Math" w:cs="PMingLiU"/>
                    <w:sz w:val="22"/>
                  </w:rPr>
                  <m:t>RX</m:t>
                </m:r>
              </m:sub>
            </m:sSub>
            <m:r>
              <w:rPr>
                <w:rFonts w:ascii="Cambria Math" w:hAnsi="Cambria Math" w:cs="PMingLiU"/>
                <w:sz w:val="22"/>
              </w:rPr>
              <m:t>-</m:t>
            </m:r>
            <m:sSub>
              <m:sSubPr>
                <m:ctrlPr>
                  <w:rPr>
                    <w:rFonts w:ascii="Cambria Math" w:hAnsi="Cambria Math" w:cs="PMingLiU"/>
                    <w:i/>
                    <w:sz w:val="22"/>
                  </w:rPr>
                </m:ctrlPr>
              </m:sSubPr>
              <m:e>
                <m:r>
                  <w:rPr>
                    <w:rFonts w:ascii="Cambria Math" w:hAnsi="Cambria Math" w:cs="PMingLiU"/>
                    <w:sz w:val="22"/>
                  </w:rPr>
                  <m:t>t</m:t>
                </m:r>
              </m:e>
              <m:sub>
                <m:r>
                  <w:rPr>
                    <w:rFonts w:ascii="Cambria Math" w:hAnsi="Cambria Math" w:cs="PMingLiU"/>
                    <w:sz w:val="22"/>
                  </w:rPr>
                  <m:t>TX</m:t>
                </m:r>
              </m:sub>
            </m:sSub>
          </m:e>
        </m:d>
      </m:oMath>
      <w:r w:rsidRPr="008E699A">
        <w:rPr>
          <w:rFonts w:cs="PMingLiU"/>
          <w:sz w:val="22"/>
        </w:rPr>
        <w:t xml:space="preserve"> is the desired phase</w:t>
      </w:r>
    </w:p>
    <w:p w14:paraId="20C9854F" w14:textId="522B6D9F" w:rsidR="0027685E" w:rsidRDefault="0027685E" w:rsidP="002F275C">
      <w:pPr>
        <w:contextualSpacing/>
        <w:jc w:val="both"/>
        <w:rPr>
          <w:sz w:val="22"/>
        </w:rPr>
      </w:pPr>
    </w:p>
    <w:p w14:paraId="67193EA8" w14:textId="7EA1EEE1" w:rsidR="00B34A1C" w:rsidRDefault="00B34A1C" w:rsidP="002F275C">
      <w:pPr>
        <w:contextualSpacing/>
        <w:jc w:val="both"/>
        <w:rPr>
          <w:sz w:val="22"/>
        </w:rPr>
      </w:pPr>
      <w:r>
        <w:rPr>
          <w:sz w:val="22"/>
        </w:rPr>
        <w:t xml:space="preserve">The initial phase mismatch is related to TX and RX oscillator. The UE may have a single oscillator. Then it is similar that UE has a single PEG (phase error group). The term </w:t>
      </w:r>
      <m:oMath>
        <m:sSub>
          <m:sSubPr>
            <m:ctrlPr>
              <w:rPr>
                <w:rFonts w:ascii="Cambria Math" w:hAnsi="Cambria Math" w:cs="PMingLiU"/>
                <w:i/>
                <w:sz w:val="22"/>
              </w:rPr>
            </m:ctrlPr>
          </m:sSubPr>
          <m:e>
            <m:r>
              <m:rPr>
                <m:sty m:val="p"/>
              </m:rPr>
              <w:rPr>
                <w:rFonts w:ascii="Cambria Math" w:hAnsi="Cambria Math" w:cs="PMingLiU"/>
                <w:sz w:val="22"/>
              </w:rPr>
              <m:t>Δ</m:t>
            </m:r>
            <m:r>
              <w:rPr>
                <w:rFonts w:ascii="Cambria Math" w:hAnsi="Cambria Math" w:cs="PMingLiU"/>
                <w:sz w:val="22"/>
              </w:rPr>
              <m:t>t</m:t>
            </m:r>
          </m:e>
          <m:sub>
            <m:r>
              <w:rPr>
                <w:rFonts w:ascii="Cambria Math" w:hAnsi="Cambria Math" w:cs="PMingLiU"/>
                <w:sz w:val="22"/>
              </w:rPr>
              <m:t>RX'</m:t>
            </m:r>
          </m:sub>
        </m:sSub>
      </m:oMath>
      <w:r>
        <w:rPr>
          <w:sz w:val="22"/>
        </w:rPr>
        <w:t xml:space="preserve"> maybe related to group delay, which is related to TEG. Based on this, PEG may not be defined.</w:t>
      </w:r>
    </w:p>
    <w:p w14:paraId="5C61EB4A" w14:textId="55F4AB0C" w:rsidR="0027685E" w:rsidRDefault="0027685E" w:rsidP="002F275C">
      <w:pPr>
        <w:contextualSpacing/>
        <w:jc w:val="both"/>
        <w:rPr>
          <w:sz w:val="22"/>
        </w:rPr>
      </w:pPr>
      <w:r>
        <w:rPr>
          <w:noProof/>
        </w:rPr>
        <w:lastRenderedPageBreak/>
        <w:drawing>
          <wp:inline distT="0" distB="0" distL="0" distR="0" wp14:anchorId="0C74EF9F" wp14:editId="7D1960FA">
            <wp:extent cx="2980944" cy="22494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0944" cy="2249424"/>
                    </a:xfrm>
                    <a:prstGeom prst="rect">
                      <a:avLst/>
                    </a:prstGeom>
                  </pic:spPr>
                </pic:pic>
              </a:graphicData>
            </a:graphic>
          </wp:inline>
        </w:drawing>
      </w:r>
      <w:r>
        <w:rPr>
          <w:sz w:val="22"/>
        </w:rPr>
        <w:t xml:space="preserve"> </w:t>
      </w:r>
      <w:r>
        <w:rPr>
          <w:noProof/>
        </w:rPr>
        <w:drawing>
          <wp:inline distT="0" distB="0" distL="0" distR="0" wp14:anchorId="2652D8C2" wp14:editId="53524572">
            <wp:extent cx="2990088" cy="2267712"/>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0088" cy="2267712"/>
                    </a:xfrm>
                    <a:prstGeom prst="rect">
                      <a:avLst/>
                    </a:prstGeom>
                  </pic:spPr>
                </pic:pic>
              </a:graphicData>
            </a:graphic>
          </wp:inline>
        </w:drawing>
      </w:r>
    </w:p>
    <w:p w14:paraId="28FDBC54" w14:textId="1DFEA042" w:rsidR="0027685E" w:rsidRPr="0027685E" w:rsidRDefault="0027685E" w:rsidP="002F275C">
      <w:pPr>
        <w:contextualSpacing/>
        <w:jc w:val="both"/>
        <w:rPr>
          <w:sz w:val="18"/>
          <w:szCs w:val="18"/>
        </w:rPr>
      </w:pPr>
      <w:r w:rsidRPr="0027685E">
        <w:rPr>
          <w:sz w:val="18"/>
          <w:szCs w:val="18"/>
        </w:rPr>
        <w:t xml:space="preserve">Fig. 2: high resolution receiver may have the resolution by wavelength unit, which could be used to provide the search range for LMF </w:t>
      </w:r>
    </w:p>
    <w:p w14:paraId="5510700F" w14:textId="77777777" w:rsidR="0027685E" w:rsidRDefault="0027685E" w:rsidP="002F275C">
      <w:pPr>
        <w:contextualSpacing/>
        <w:jc w:val="both"/>
        <w:rPr>
          <w:sz w:val="22"/>
        </w:rPr>
      </w:pPr>
    </w:p>
    <w:p w14:paraId="298311D3" w14:textId="77777777" w:rsidR="0027685E" w:rsidRDefault="0027685E" w:rsidP="002F275C">
      <w:pPr>
        <w:contextualSpacing/>
        <w:jc w:val="both"/>
        <w:rPr>
          <w:sz w:val="22"/>
        </w:rPr>
      </w:pPr>
    </w:p>
    <w:p w14:paraId="49BA7382" w14:textId="77777777" w:rsidR="00A804C8" w:rsidRPr="00A46019" w:rsidRDefault="00A804C8" w:rsidP="003A3538">
      <w:pPr>
        <w:jc w:val="both"/>
        <w:rPr>
          <w:sz w:val="22"/>
        </w:rPr>
      </w:pPr>
    </w:p>
    <w:p w14:paraId="791D6D4D" w14:textId="77777777" w:rsidR="00DE091B" w:rsidRDefault="00DE091B" w:rsidP="00E420EC">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3756BF75" w14:textId="77777777" w:rsidR="00C32FC5" w:rsidRDefault="00C32FC5" w:rsidP="00C32FC5">
      <w:pPr>
        <w:contextualSpacing/>
        <w:jc w:val="both"/>
        <w:rPr>
          <w:sz w:val="22"/>
        </w:rPr>
      </w:pPr>
      <w:r w:rsidRPr="00C57BBB">
        <w:rPr>
          <w:b/>
          <w:bCs/>
          <w:sz w:val="22"/>
        </w:rPr>
        <w:t>Proposal 2-1</w:t>
      </w:r>
      <w:r>
        <w:rPr>
          <w:sz w:val="22"/>
        </w:rPr>
        <w:t>: The reporting of the phase measurement is together with the existing measurement reports</w:t>
      </w:r>
    </w:p>
    <w:p w14:paraId="15FBBFBA" w14:textId="77777777" w:rsidR="00C32FC5" w:rsidRDefault="00C32FC5" w:rsidP="00C32FC5">
      <w:pPr>
        <w:contextualSpacing/>
        <w:jc w:val="both"/>
        <w:rPr>
          <w:sz w:val="22"/>
        </w:rPr>
      </w:pPr>
    </w:p>
    <w:p w14:paraId="75F6FC56" w14:textId="77777777" w:rsidR="00C32FC5" w:rsidRDefault="00C32FC5" w:rsidP="00C32FC5">
      <w:pPr>
        <w:contextualSpacing/>
        <w:jc w:val="both"/>
        <w:rPr>
          <w:sz w:val="22"/>
        </w:rPr>
      </w:pPr>
      <w:r w:rsidRPr="00C57BBB">
        <w:rPr>
          <w:b/>
          <w:bCs/>
          <w:sz w:val="22"/>
        </w:rPr>
        <w:t>Proposal 2-2</w:t>
      </w:r>
      <w:r>
        <w:rPr>
          <w:sz w:val="22"/>
        </w:rPr>
        <w:t>: By default, the reporting of the phase measurement corresponds to the phase in DC tone</w:t>
      </w:r>
    </w:p>
    <w:p w14:paraId="1F3B712C" w14:textId="77777777" w:rsidR="00C32FC5" w:rsidRDefault="00C32FC5" w:rsidP="00C32FC5">
      <w:pPr>
        <w:contextualSpacing/>
        <w:jc w:val="both"/>
        <w:rPr>
          <w:sz w:val="22"/>
        </w:rPr>
      </w:pPr>
    </w:p>
    <w:p w14:paraId="46715743" w14:textId="77777777" w:rsidR="00C32FC5" w:rsidRDefault="00C32FC5" w:rsidP="00C32FC5">
      <w:pPr>
        <w:contextualSpacing/>
        <w:jc w:val="both"/>
        <w:rPr>
          <w:sz w:val="22"/>
        </w:rPr>
      </w:pPr>
      <w:r w:rsidRPr="00C57BBB">
        <w:rPr>
          <w:b/>
          <w:bCs/>
          <w:sz w:val="22"/>
        </w:rPr>
        <w:t>Proposal 2-3</w:t>
      </w:r>
      <w:r>
        <w:rPr>
          <w:sz w:val="22"/>
        </w:rPr>
        <w:t>: It is up to NW request and UE capability to report the phase measurements on other subcarriers</w:t>
      </w:r>
    </w:p>
    <w:p w14:paraId="052D7A9D" w14:textId="77777777" w:rsidR="00C32FC5" w:rsidRDefault="00C32FC5" w:rsidP="00C32FC5">
      <w:pPr>
        <w:contextualSpacing/>
        <w:jc w:val="both"/>
        <w:rPr>
          <w:sz w:val="22"/>
        </w:rPr>
      </w:pPr>
    </w:p>
    <w:p w14:paraId="3CC58146" w14:textId="77777777" w:rsidR="00C32FC5" w:rsidRDefault="00C32FC5" w:rsidP="00C32FC5">
      <w:pPr>
        <w:contextualSpacing/>
        <w:jc w:val="both"/>
        <w:rPr>
          <w:sz w:val="22"/>
        </w:rPr>
      </w:pPr>
      <w:r w:rsidRPr="00C57BBB">
        <w:rPr>
          <w:b/>
          <w:bCs/>
          <w:sz w:val="22"/>
        </w:rPr>
        <w:t>Proposal 2-4</w:t>
      </w:r>
      <w:r>
        <w:rPr>
          <w:sz w:val="22"/>
        </w:rPr>
        <w:t>: The definition of carrier phase measurement is independent on the time or frequency domain, similar to RSRPP measurement definition</w:t>
      </w:r>
    </w:p>
    <w:p w14:paraId="7FFD22A8" w14:textId="77777777" w:rsidR="00C32FC5" w:rsidRDefault="00C32FC5" w:rsidP="00C32FC5">
      <w:pPr>
        <w:contextualSpacing/>
        <w:jc w:val="both"/>
        <w:rPr>
          <w:sz w:val="22"/>
        </w:rPr>
      </w:pPr>
    </w:p>
    <w:p w14:paraId="2D278B22" w14:textId="77777777" w:rsidR="00C32FC5" w:rsidRDefault="00C32FC5" w:rsidP="00C32FC5">
      <w:pPr>
        <w:contextualSpacing/>
        <w:jc w:val="both"/>
        <w:rPr>
          <w:sz w:val="22"/>
        </w:rPr>
      </w:pPr>
      <w:r w:rsidRPr="00C57BBB">
        <w:rPr>
          <w:b/>
          <w:bCs/>
          <w:sz w:val="22"/>
        </w:rPr>
        <w:t>Proposal 2-5</w:t>
      </w:r>
      <w:r>
        <w:rPr>
          <w:sz w:val="22"/>
        </w:rPr>
        <w:t>: When phase measurement is reported with RSTD measurement, it is associated with the phase difference</w:t>
      </w:r>
    </w:p>
    <w:p w14:paraId="611153D1" w14:textId="77777777" w:rsidR="00C32FC5" w:rsidRDefault="00C32FC5" w:rsidP="00C32FC5">
      <w:pPr>
        <w:contextualSpacing/>
        <w:jc w:val="both"/>
        <w:rPr>
          <w:sz w:val="22"/>
        </w:rPr>
      </w:pPr>
    </w:p>
    <w:p w14:paraId="70C9692A" w14:textId="42AFF72D" w:rsidR="00C32FC5" w:rsidRDefault="00C32FC5" w:rsidP="00C32FC5">
      <w:pPr>
        <w:contextualSpacing/>
        <w:jc w:val="both"/>
        <w:rPr>
          <w:sz w:val="22"/>
        </w:rPr>
      </w:pPr>
      <w:r w:rsidRPr="00C57BBB">
        <w:rPr>
          <w:b/>
          <w:bCs/>
          <w:sz w:val="22"/>
        </w:rPr>
        <w:t>Proposal 2-6</w:t>
      </w:r>
      <w:r>
        <w:rPr>
          <w:sz w:val="22"/>
        </w:rPr>
        <w:t xml:space="preserve">: The phase measurement reporting </w:t>
      </w:r>
      <w:r>
        <w:rPr>
          <w:sz w:val="22"/>
        </w:rPr>
        <w:t xml:space="preserve">unit </w:t>
      </w:r>
      <w:r>
        <w:rPr>
          <w:sz w:val="22"/>
        </w:rPr>
        <w:t xml:space="preserve">may consider the angle in degree </w:t>
      </w:r>
    </w:p>
    <w:p w14:paraId="79D47434" w14:textId="77777777" w:rsidR="00C32FC5" w:rsidRDefault="00C32FC5" w:rsidP="00C32FC5">
      <w:pPr>
        <w:contextualSpacing/>
        <w:jc w:val="both"/>
        <w:rPr>
          <w:sz w:val="22"/>
        </w:rPr>
      </w:pPr>
    </w:p>
    <w:p w14:paraId="667AEA25" w14:textId="77777777" w:rsidR="00C32FC5" w:rsidRDefault="00C32FC5" w:rsidP="00C32FC5">
      <w:pPr>
        <w:contextualSpacing/>
        <w:jc w:val="both"/>
        <w:rPr>
          <w:sz w:val="22"/>
        </w:rPr>
      </w:pPr>
      <w:r w:rsidRPr="00C57BBB">
        <w:rPr>
          <w:b/>
          <w:bCs/>
          <w:sz w:val="22"/>
        </w:rPr>
        <w:t>Proposal 2-7</w:t>
      </w:r>
      <w:r>
        <w:rPr>
          <w:sz w:val="22"/>
        </w:rPr>
        <w:t>: Up to UE capability, report the search range for each phase measurement</w:t>
      </w:r>
    </w:p>
    <w:p w14:paraId="5BE9C64E" w14:textId="32697960" w:rsidR="00C32FC5" w:rsidRDefault="00C32FC5" w:rsidP="00E420EC">
      <w:pPr>
        <w:jc w:val="both"/>
        <w:rPr>
          <w:sz w:val="20"/>
          <w:szCs w:val="20"/>
        </w:rPr>
      </w:pPr>
    </w:p>
    <w:p w14:paraId="79FBED64" w14:textId="77777777" w:rsidR="00E420EC" w:rsidRPr="00E420EC" w:rsidRDefault="00E420EC" w:rsidP="00E420EC">
      <w:pPr>
        <w:jc w:val="both"/>
        <w:rPr>
          <w:sz w:val="20"/>
          <w:szCs w:val="20"/>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834A37F" w:rsidR="00244855" w:rsidRDefault="00195261" w:rsidP="007D02C1">
      <w:pPr>
        <w:jc w:val="both"/>
        <w:rPr>
          <w:rFonts w:cstheme="minorHAnsi"/>
          <w:color w:val="000000" w:themeColor="text1"/>
          <w:kern w:val="24"/>
          <w:sz w:val="22"/>
          <w:lang w:val="en-GB"/>
        </w:rPr>
      </w:pPr>
      <w:r>
        <w:rPr>
          <w:rFonts w:cstheme="minorHAnsi"/>
          <w:color w:val="000000" w:themeColor="text1"/>
          <w:kern w:val="24"/>
          <w:sz w:val="22"/>
          <w:lang w:val="en-GB"/>
        </w:rPr>
        <w:t>[1] R1-221</w:t>
      </w:r>
      <w:r w:rsidR="00D9693C">
        <w:rPr>
          <w:rFonts w:cstheme="minorHAnsi"/>
          <w:color w:val="000000" w:themeColor="text1"/>
          <w:kern w:val="24"/>
          <w:sz w:val="22"/>
          <w:lang w:val="en-GB"/>
        </w:rPr>
        <w:t>0099</w:t>
      </w:r>
    </w:p>
    <w:p w14:paraId="16713826" w14:textId="632B367E" w:rsidR="00422ED8" w:rsidRPr="001E5DA4" w:rsidRDefault="00422ED8" w:rsidP="007D02C1">
      <w:pPr>
        <w:jc w:val="both"/>
        <w:rPr>
          <w:rFonts w:cstheme="minorHAnsi"/>
          <w:color w:val="000000" w:themeColor="text1"/>
          <w:kern w:val="24"/>
          <w:sz w:val="22"/>
          <w:lang w:val="en-GB"/>
        </w:rPr>
      </w:pPr>
      <w:r>
        <w:rPr>
          <w:rFonts w:cstheme="minorHAnsi"/>
          <w:color w:val="000000" w:themeColor="text1"/>
          <w:kern w:val="24"/>
          <w:sz w:val="22"/>
          <w:lang w:val="en-GB"/>
        </w:rPr>
        <w:t>[2] R1-2212193</w:t>
      </w:r>
    </w:p>
    <w:sectPr w:rsidR="00422ED8"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5AB4F" w14:textId="77777777" w:rsidR="00147D3E" w:rsidRDefault="00147D3E">
      <w:r>
        <w:separator/>
      </w:r>
    </w:p>
  </w:endnote>
  <w:endnote w:type="continuationSeparator" w:id="0">
    <w:p w14:paraId="52DE20B3" w14:textId="77777777" w:rsidR="00147D3E" w:rsidRDefault="0014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8B0E6" w14:textId="77777777" w:rsidR="00147D3E" w:rsidRDefault="00147D3E">
      <w:r>
        <w:separator/>
      </w:r>
    </w:p>
  </w:footnote>
  <w:footnote w:type="continuationSeparator" w:id="0">
    <w:p w14:paraId="21A3B9B7" w14:textId="77777777" w:rsidR="00147D3E" w:rsidRDefault="00147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13"/>
  </w:num>
  <w:num w:numId="4">
    <w:abstractNumId w:val="2"/>
  </w:num>
  <w:num w:numId="5">
    <w:abstractNumId w:val="22"/>
  </w:num>
  <w:num w:numId="6">
    <w:abstractNumId w:val="30"/>
  </w:num>
  <w:num w:numId="7">
    <w:abstractNumId w:val="3"/>
  </w:num>
  <w:num w:numId="8">
    <w:abstractNumId w:val="20"/>
  </w:num>
  <w:num w:numId="9">
    <w:abstractNumId w:val="28"/>
  </w:num>
  <w:num w:numId="10">
    <w:abstractNumId w:val="26"/>
  </w:num>
  <w:num w:numId="11">
    <w:abstractNumId w:val="12"/>
  </w:num>
  <w:num w:numId="12">
    <w:abstractNumId w:val="12"/>
  </w:num>
  <w:num w:numId="13">
    <w:abstractNumId w:val="6"/>
  </w:num>
  <w:num w:numId="14">
    <w:abstractNumId w:val="29"/>
  </w:num>
  <w:num w:numId="15">
    <w:abstractNumId w:val="18"/>
  </w:num>
  <w:num w:numId="16">
    <w:abstractNumId w:val="5"/>
  </w:num>
  <w:num w:numId="17">
    <w:abstractNumId w:val="0"/>
  </w:num>
  <w:num w:numId="18">
    <w:abstractNumId w:val="8"/>
  </w:num>
  <w:num w:numId="19">
    <w:abstractNumId w:val="4"/>
  </w:num>
  <w:num w:numId="20">
    <w:abstractNumId w:val="19"/>
  </w:num>
  <w:num w:numId="21">
    <w:abstractNumId w:val="21"/>
  </w:num>
  <w:num w:numId="22">
    <w:abstractNumId w:val="14"/>
  </w:num>
  <w:num w:numId="23">
    <w:abstractNumId w:val="1"/>
  </w:num>
  <w:num w:numId="24">
    <w:abstractNumId w:val="15"/>
  </w:num>
  <w:num w:numId="25">
    <w:abstractNumId w:val="16"/>
  </w:num>
  <w:num w:numId="26">
    <w:abstractNumId w:val="17"/>
  </w:num>
  <w:num w:numId="27">
    <w:abstractNumId w:val="23"/>
  </w:num>
  <w:num w:numId="28">
    <w:abstractNumId w:val="7"/>
  </w:num>
  <w:num w:numId="29">
    <w:abstractNumId w:val="10"/>
  </w:num>
  <w:num w:numId="30">
    <w:abstractNumId w:val="9"/>
  </w:num>
  <w:num w:numId="31">
    <w:abstractNumId w:val="11"/>
  </w:num>
  <w:num w:numId="32">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1E20"/>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A83"/>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85A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A8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1214</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2023-02-17T21:11:00Z</dcterms:created>
  <dcterms:modified xsi:type="dcterms:W3CDTF">2023-02-17T21:11:00Z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